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95597" w14:textId="77777777" w:rsidR="000B3988" w:rsidRPr="00DD5C8C" w:rsidRDefault="000B3988" w:rsidP="000B3988">
      <w:pPr>
        <w:keepNext/>
        <w:keepLines/>
        <w:spacing w:before="200" w:after="0" w:line="276" w:lineRule="auto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bookmarkStart w:id="0" w:name="_Toc9094429"/>
      <w:bookmarkStart w:id="1" w:name="_Toc9412563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>AV.</w:t>
      </w:r>
      <w:r w:rsidRPr="00DD5C8C">
        <w:rPr>
          <w:rFonts w:ascii="Arial Narrow" w:eastAsia="Times New Roman" w:hAnsi="Arial Narrow" w:cs="Times New Roman"/>
          <w:b/>
          <w:bCs/>
          <w:sz w:val="26"/>
          <w:szCs w:val="26"/>
        </w:rPr>
        <w:t>7</w:t>
      </w:r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 xml:space="preserve"> – </w:t>
      </w:r>
      <w:r w:rsidRPr="00DD5C8C">
        <w:rPr>
          <w:rFonts w:ascii="Arial Narrow" w:eastAsia="Times New Roman" w:hAnsi="Arial Narrow" w:cs="Times New Roman"/>
          <w:b/>
          <w:bCs/>
          <w:sz w:val="26"/>
          <w:szCs w:val="26"/>
        </w:rPr>
        <w:t>PROCEDURA DI CONTROLLO COSTANTE</w:t>
      </w:r>
      <w:bookmarkEnd w:id="0"/>
      <w:bookmarkEnd w:id="1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 xml:space="preserve"> </w:t>
      </w:r>
    </w:p>
    <w:p w14:paraId="78D588CC" w14:textId="77777777" w:rsidR="000B3988" w:rsidRPr="00DD5C8C" w:rsidRDefault="000B3988" w:rsidP="000B3988">
      <w:pPr>
        <w:spacing w:after="200" w:line="276" w:lineRule="auto"/>
        <w:rPr>
          <w:rFonts w:ascii="Calibri" w:eastAsia="Calibri" w:hAnsi="Calibri" w:cs="Times New Roman"/>
          <w:lang w:val="x-none"/>
        </w:rPr>
      </w:pPr>
    </w:p>
    <w:p w14:paraId="32EDFF8F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</w:rPr>
        <w:t>Il professionista deve effettuare le seguenti attività</w:t>
      </w:r>
      <w:r w:rsidRPr="00DD5C8C">
        <w:rPr>
          <w:rFonts w:ascii="Arial Narrow" w:eastAsia="Calibri" w:hAnsi="Arial Narrow" w:cs="Times New Roman"/>
          <w:lang w:val="x-none"/>
        </w:rPr>
        <w:t>:</w:t>
      </w:r>
    </w:p>
    <w:p w14:paraId="6F71D7C1" w14:textId="77777777" w:rsidR="000B3988" w:rsidRPr="00DD5C8C" w:rsidRDefault="000B3988" w:rsidP="000B3988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1.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</w:t>
      </w:r>
      <w:r w:rsidRPr="00DD5C8C">
        <w:rPr>
          <w:rFonts w:ascii="Arial Narrow" w:eastAsia="Calibri" w:hAnsi="Arial Narrow" w:cs="Times New Roman"/>
        </w:rPr>
        <w:t xml:space="preserve">la </w:t>
      </w:r>
      <w:r w:rsidRPr="00DD5C8C">
        <w:rPr>
          <w:rFonts w:ascii="Arial Narrow" w:eastAsia="Calibri" w:hAnsi="Arial Narrow" w:cs="Times New Roman"/>
          <w:lang w:val="x-none"/>
        </w:rPr>
        <w:t>coerenza tra la complessiva operatività del cliente (operazioni e attività), la conoscenza che ha maturato del medesimo e il profilo di rischio che gli ha assegnato;</w:t>
      </w:r>
    </w:p>
    <w:p w14:paraId="7D6EF9E6" w14:textId="77777777" w:rsidR="000B3988" w:rsidRPr="00DD5C8C" w:rsidRDefault="000B3988" w:rsidP="000B3988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2.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che lo scopo e la natura delle prestazioni professionali dichiarati dal cliente all’atto del conferimento dell’incarico siano coerenti con le informazioni acquisite nel corso dello svolgimento dell’incarico stesso;</w:t>
      </w:r>
    </w:p>
    <w:p w14:paraId="2575F740" w14:textId="77777777" w:rsidR="000B3988" w:rsidRPr="00DD5C8C" w:rsidRDefault="000B3988" w:rsidP="000B3988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3.</w:t>
      </w:r>
      <w:r w:rsidRPr="00DD5C8C">
        <w:rPr>
          <w:rFonts w:ascii="Arial Narrow" w:eastAsia="Calibri" w:hAnsi="Arial Narrow" w:cs="Times New Roman"/>
          <w:lang w:val="x-none"/>
        </w:rPr>
        <w:tab/>
        <w:t>in funzione del rischio, 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la provenienza dei fondi e delle risorse nella disponibilità del cliente;</w:t>
      </w:r>
    </w:p>
    <w:p w14:paraId="399B0E1E" w14:textId="77777777" w:rsidR="000B3988" w:rsidRPr="00DD5C8C" w:rsidRDefault="000B3988" w:rsidP="000B3988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4.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che non siano intervenute variazioni nei titolari effettivi e</w:t>
      </w:r>
      <w:r w:rsidRPr="00DD5C8C">
        <w:rPr>
          <w:rFonts w:ascii="Arial Narrow" w:eastAsia="Calibri" w:hAnsi="Arial Narrow" w:cs="Times New Roman"/>
        </w:rPr>
        <w:t xml:space="preserve"> nelle persone politicamente esposte e</w:t>
      </w:r>
      <w:r w:rsidRPr="00DD5C8C">
        <w:rPr>
          <w:rFonts w:ascii="Arial Narrow" w:eastAsia="Calibri" w:hAnsi="Arial Narrow" w:cs="Times New Roman"/>
          <w:lang w:val="x-none"/>
        </w:rPr>
        <w:t>, se del cas</w:t>
      </w:r>
      <w:r w:rsidRPr="00DD5C8C">
        <w:rPr>
          <w:rFonts w:ascii="Arial Narrow" w:eastAsia="Calibri" w:hAnsi="Arial Narrow" w:cs="Times New Roman"/>
        </w:rPr>
        <w:t>o</w:t>
      </w:r>
      <w:r w:rsidRPr="00DD5C8C">
        <w:rPr>
          <w:rFonts w:ascii="Arial Narrow" w:eastAsia="Calibri" w:hAnsi="Arial Narrow" w:cs="Times New Roman"/>
          <w:lang w:val="x-none"/>
        </w:rPr>
        <w:t>, acquisi</w:t>
      </w:r>
      <w:r w:rsidRPr="00DD5C8C">
        <w:rPr>
          <w:rFonts w:ascii="Arial Narrow" w:eastAsia="Calibri" w:hAnsi="Arial Narrow" w:cs="Times New Roman"/>
        </w:rPr>
        <w:t>r</w:t>
      </w:r>
      <w:r w:rsidRPr="00DD5C8C">
        <w:rPr>
          <w:rFonts w:ascii="Arial Narrow" w:eastAsia="Calibri" w:hAnsi="Arial Narrow" w:cs="Times New Roman"/>
          <w:lang w:val="x-none"/>
        </w:rPr>
        <w:t xml:space="preserve">e una nuova dichiarazione del cliente; </w:t>
      </w:r>
    </w:p>
    <w:p w14:paraId="0C7973C3" w14:textId="77777777" w:rsidR="000B3988" w:rsidRPr="00DD5C8C" w:rsidRDefault="000B3988" w:rsidP="000B3988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5.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che i dati identificativi del cliente e dell’esecutore siano aggiornati e, se del caso, acquisi</w:t>
      </w:r>
      <w:r w:rsidRPr="00DD5C8C">
        <w:rPr>
          <w:rFonts w:ascii="Arial Narrow" w:eastAsia="Calibri" w:hAnsi="Arial Narrow" w:cs="Times New Roman"/>
        </w:rPr>
        <w:t>r</w:t>
      </w:r>
      <w:r w:rsidRPr="00DD5C8C">
        <w:rPr>
          <w:rFonts w:ascii="Arial Narrow" w:eastAsia="Calibri" w:hAnsi="Arial Narrow" w:cs="Times New Roman"/>
          <w:lang w:val="x-none"/>
        </w:rPr>
        <w:t xml:space="preserve">e quelli modificati. </w:t>
      </w:r>
    </w:p>
    <w:p w14:paraId="2A5AB1AB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In esito alle verifiche effettuate, il soggetto obbligato conclude in merito al livello di rischio complessivo associabile al cliente, aumentando o diminuendo quello precedentemente attribuito e, di conseguenza, determina le tempistiche per l’effettuazione del successivo controllo.</w:t>
      </w:r>
    </w:p>
    <w:p w14:paraId="745EBEF1" w14:textId="77777777" w:rsidR="000B3988" w:rsidRPr="00DD5C8C" w:rsidRDefault="000B3988" w:rsidP="000B3988">
      <w:p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Arial Narrow" w:eastAsia="Calibri" w:hAnsi="Arial Narrow" w:cs="Palatino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7"/>
        <w:gridCol w:w="1134"/>
        <w:gridCol w:w="1134"/>
        <w:gridCol w:w="1099"/>
      </w:tblGrid>
      <w:tr w:rsidR="000B3988" w:rsidRPr="00DD5C8C" w14:paraId="08CB2D51" w14:textId="77777777" w:rsidTr="00E4490E">
        <w:trPr>
          <w:trHeight w:val="375"/>
          <w:jc w:val="center"/>
        </w:trPr>
        <w:tc>
          <w:tcPr>
            <w:tcW w:w="5767" w:type="dxa"/>
            <w:vMerge w:val="restart"/>
            <w:shd w:val="clear" w:color="auto" w:fill="auto"/>
          </w:tcPr>
          <w:p w14:paraId="71D00AE0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  <w:p w14:paraId="553E1FCC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Controllo</w:t>
            </w:r>
          </w:p>
          <w:p w14:paraId="4B56A8A7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</w:tc>
        <w:tc>
          <w:tcPr>
            <w:tcW w:w="3367" w:type="dxa"/>
            <w:gridSpan w:val="3"/>
            <w:shd w:val="clear" w:color="auto" w:fill="auto"/>
          </w:tcPr>
          <w:p w14:paraId="5690FCD0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  <w:p w14:paraId="133F91DB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Esito</w:t>
            </w:r>
          </w:p>
        </w:tc>
      </w:tr>
      <w:tr w:rsidR="000B3988" w:rsidRPr="00DD5C8C" w14:paraId="10B84004" w14:textId="77777777" w:rsidTr="00E4490E">
        <w:trPr>
          <w:trHeight w:val="375"/>
          <w:jc w:val="center"/>
        </w:trPr>
        <w:tc>
          <w:tcPr>
            <w:tcW w:w="5767" w:type="dxa"/>
            <w:vMerge/>
            <w:shd w:val="clear" w:color="auto" w:fill="auto"/>
          </w:tcPr>
          <w:p w14:paraId="75963D16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1FB26BD5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Sì</w:t>
            </w:r>
          </w:p>
        </w:tc>
        <w:tc>
          <w:tcPr>
            <w:tcW w:w="1134" w:type="dxa"/>
            <w:shd w:val="clear" w:color="auto" w:fill="auto"/>
          </w:tcPr>
          <w:p w14:paraId="1ADF8127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 xml:space="preserve">No </w:t>
            </w:r>
          </w:p>
        </w:tc>
        <w:tc>
          <w:tcPr>
            <w:tcW w:w="1099" w:type="dxa"/>
            <w:shd w:val="clear" w:color="auto" w:fill="auto"/>
          </w:tcPr>
          <w:p w14:paraId="0B6A868B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N.a.</w:t>
            </w:r>
          </w:p>
        </w:tc>
      </w:tr>
      <w:tr w:rsidR="000B3988" w:rsidRPr="00DD5C8C" w14:paraId="6D4DCE0F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077C91CE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1. Complessiva operatività del cliente (operazioni e attività) rispetto alla conoscenza del medesimo e profilo di rischio assegnato</w:t>
            </w:r>
          </w:p>
        </w:tc>
        <w:tc>
          <w:tcPr>
            <w:tcW w:w="1134" w:type="dxa"/>
            <w:shd w:val="clear" w:color="auto" w:fill="auto"/>
          </w:tcPr>
          <w:p w14:paraId="50F22FBA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761DCCA2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7040496D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7578CA57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5CE7123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2. Coerenza dello scopo e natura delle prestazioni professionali dichiarati dal cliente all’atto del conferimento dell’incarico con le informazioni acquisite nel corso dello svolgimento dell’incarico </w:t>
            </w:r>
          </w:p>
        </w:tc>
        <w:tc>
          <w:tcPr>
            <w:tcW w:w="1134" w:type="dxa"/>
            <w:shd w:val="clear" w:color="auto" w:fill="auto"/>
          </w:tcPr>
          <w:p w14:paraId="27B23F5E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7C35B0E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32D0206D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101EDA34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35F75628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2.1. Funzionalità del rapporto cliente/esecutore e cliente/titolare effettivo alla gestione dell’attività</w:t>
            </w:r>
          </w:p>
        </w:tc>
        <w:tc>
          <w:tcPr>
            <w:tcW w:w="1134" w:type="dxa"/>
            <w:shd w:val="clear" w:color="auto" w:fill="auto"/>
          </w:tcPr>
          <w:p w14:paraId="6CB0FB65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5CA93ABD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633F57F9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2FD7576A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0AA5C23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3. Provenienza dei fondi e risorse nella disponibilità del cliente (in funzione del rischio)</w:t>
            </w:r>
          </w:p>
        </w:tc>
        <w:tc>
          <w:tcPr>
            <w:tcW w:w="1134" w:type="dxa"/>
            <w:shd w:val="clear" w:color="auto" w:fill="auto"/>
          </w:tcPr>
          <w:p w14:paraId="1417F90B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76B9DEA7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539FADB2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5FB24B6D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73413780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4.1 Titolari effettivi aggiornati</w:t>
            </w:r>
          </w:p>
        </w:tc>
        <w:tc>
          <w:tcPr>
            <w:tcW w:w="1134" w:type="dxa"/>
            <w:shd w:val="clear" w:color="auto" w:fill="auto"/>
          </w:tcPr>
          <w:p w14:paraId="27FB19F8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67200B4B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535E3208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189F2103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56046B5D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4.2 Dati identificativi titolari effettivi aggiornati </w:t>
            </w:r>
          </w:p>
        </w:tc>
        <w:tc>
          <w:tcPr>
            <w:tcW w:w="1134" w:type="dxa"/>
            <w:shd w:val="clear" w:color="auto" w:fill="auto"/>
          </w:tcPr>
          <w:p w14:paraId="0297B5AA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1120FD4C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39A20B7A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67193E26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2BC233D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4.3 Acquisizione dati identificativi nuovi titolari effettivi </w:t>
            </w:r>
          </w:p>
        </w:tc>
        <w:tc>
          <w:tcPr>
            <w:tcW w:w="1134" w:type="dxa"/>
            <w:shd w:val="clear" w:color="auto" w:fill="auto"/>
          </w:tcPr>
          <w:p w14:paraId="544B0748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5D6348FE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44F4316F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33531DA4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4E7214F1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5.1 Dati identificativi cliente aggiornati </w:t>
            </w:r>
          </w:p>
        </w:tc>
        <w:tc>
          <w:tcPr>
            <w:tcW w:w="1134" w:type="dxa"/>
            <w:shd w:val="clear" w:color="auto" w:fill="auto"/>
          </w:tcPr>
          <w:p w14:paraId="099A32ED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7BA06B9C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544D44BE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1AE90F2A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16A4F6A5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5.2 Dati identificativi esecutore aggiornati </w:t>
            </w:r>
          </w:p>
        </w:tc>
        <w:tc>
          <w:tcPr>
            <w:tcW w:w="1134" w:type="dxa"/>
            <w:shd w:val="clear" w:color="auto" w:fill="auto"/>
          </w:tcPr>
          <w:p w14:paraId="5196D827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22EF438F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4FFF944C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54669459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79F772C8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5.3 Acquisizione copia nuovo documento identità cliente </w:t>
            </w:r>
          </w:p>
        </w:tc>
        <w:tc>
          <w:tcPr>
            <w:tcW w:w="1134" w:type="dxa"/>
            <w:shd w:val="clear" w:color="auto" w:fill="auto"/>
          </w:tcPr>
          <w:p w14:paraId="24FB4929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57326FF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44FDB71C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0B3988" w:rsidRPr="00DD5C8C" w14:paraId="17D81606" w14:textId="77777777" w:rsidTr="00E4490E">
        <w:trPr>
          <w:jc w:val="center"/>
        </w:trPr>
        <w:tc>
          <w:tcPr>
            <w:tcW w:w="5767" w:type="dxa"/>
            <w:shd w:val="clear" w:color="auto" w:fill="auto"/>
          </w:tcPr>
          <w:p w14:paraId="7E55F8BD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5.4 Acquisizione copia nuovo documento identità esecutore</w:t>
            </w:r>
          </w:p>
        </w:tc>
        <w:tc>
          <w:tcPr>
            <w:tcW w:w="1134" w:type="dxa"/>
            <w:shd w:val="clear" w:color="auto" w:fill="auto"/>
          </w:tcPr>
          <w:p w14:paraId="433465C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14:paraId="4C30FAD3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14:paraId="0E135CB4" w14:textId="77777777" w:rsidR="000B3988" w:rsidRPr="00DD5C8C" w:rsidRDefault="000B3988" w:rsidP="00E449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</w:tbl>
    <w:p w14:paraId="57D1933C" w14:textId="77777777" w:rsidR="000B3988" w:rsidRPr="00DD5C8C" w:rsidRDefault="000B3988" w:rsidP="000B398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 w:cs="Palatino"/>
          <w:lang w:eastAsia="it-IT"/>
        </w:rPr>
      </w:pPr>
    </w:p>
    <w:p w14:paraId="1E0A4156" w14:textId="77777777" w:rsidR="000B3988" w:rsidRPr="00DD5C8C" w:rsidRDefault="000B3988" w:rsidP="000B3988">
      <w:pPr>
        <w:spacing w:after="200" w:line="276" w:lineRule="auto"/>
        <w:rPr>
          <w:rFonts w:ascii="Calibri" w:eastAsia="Calibri" w:hAnsi="Calibri" w:cs="Times New Roman"/>
          <w:b/>
        </w:rPr>
      </w:pPr>
      <w:r w:rsidRPr="00DD5C8C">
        <w:rPr>
          <w:rFonts w:ascii="Calibri" w:eastAsia="Calibri" w:hAnsi="Calibri" w:cs="Times New Roman"/>
          <w:b/>
        </w:rPr>
        <w:t xml:space="preserve">Annotazioni </w:t>
      </w:r>
    </w:p>
    <w:p w14:paraId="0A79403C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Ove opportuno, descrivere/motivare il controllo indicato in tabella (ad es. con riferimento alla provenienza dei fondi e delle risorse nella disponibilità del cliente).</w:t>
      </w:r>
    </w:p>
    <w:p w14:paraId="68A1F5EA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Livello di rischio</w:t>
      </w:r>
    </w:p>
    <w:p w14:paraId="28641416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</w:t>
      </w:r>
      <w:r w:rsidRPr="00DD5C8C">
        <w:rPr>
          <w:rFonts w:ascii="Arial Narrow" w:eastAsia="Calibri" w:hAnsi="Arial Narrow" w:cs="Times New Roman"/>
        </w:rPr>
        <w:t>confermato</w:t>
      </w:r>
    </w:p>
    <w:p w14:paraId="2263500F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Times New Roman"/>
        </w:rPr>
        <w:t xml:space="preserve">aumentato </w:t>
      </w:r>
    </w:p>
    <w:p w14:paraId="57030E8A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ridotto </w:t>
      </w:r>
    </w:p>
    <w:p w14:paraId="2B519BBA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74CFEF01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 xml:space="preserve">Tempistica controllo </w:t>
      </w:r>
    </w:p>
    <w:p w14:paraId="681101A8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212"/>
        <w:gridCol w:w="3205"/>
      </w:tblGrid>
      <w:tr w:rsidR="000B3988" w:rsidRPr="00DD5C8C" w14:paraId="0C396171" w14:textId="77777777" w:rsidTr="00E4490E">
        <w:tc>
          <w:tcPr>
            <w:tcW w:w="3259" w:type="dxa"/>
            <w:vMerge w:val="restart"/>
            <w:shd w:val="clear" w:color="auto" w:fill="auto"/>
          </w:tcPr>
          <w:p w14:paraId="6F797374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14:paraId="214F18C9" w14:textId="77777777" w:rsidR="000B3988" w:rsidRPr="00DD5C8C" w:rsidRDefault="000B3988" w:rsidP="00E4490E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Livello di rischio</w:t>
            </w:r>
          </w:p>
        </w:tc>
        <w:tc>
          <w:tcPr>
            <w:tcW w:w="3259" w:type="dxa"/>
            <w:shd w:val="clear" w:color="auto" w:fill="auto"/>
          </w:tcPr>
          <w:p w14:paraId="7276A35E" w14:textId="77777777" w:rsidR="000B3988" w:rsidRPr="00DD5C8C" w:rsidRDefault="000B3988" w:rsidP="00E4490E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Precedente</w:t>
            </w:r>
          </w:p>
        </w:tc>
        <w:tc>
          <w:tcPr>
            <w:tcW w:w="3260" w:type="dxa"/>
            <w:shd w:val="clear" w:color="auto" w:fill="auto"/>
          </w:tcPr>
          <w:p w14:paraId="4C6650DF" w14:textId="77777777" w:rsidR="000B3988" w:rsidRPr="00DD5C8C" w:rsidRDefault="000B3988" w:rsidP="00E4490E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Attuale</w:t>
            </w:r>
          </w:p>
        </w:tc>
      </w:tr>
      <w:tr w:rsidR="000B3988" w:rsidRPr="00DD5C8C" w14:paraId="7E13A0AA" w14:textId="77777777" w:rsidTr="00E4490E">
        <w:tc>
          <w:tcPr>
            <w:tcW w:w="3259" w:type="dxa"/>
            <w:vMerge/>
            <w:shd w:val="clear" w:color="auto" w:fill="auto"/>
          </w:tcPr>
          <w:p w14:paraId="105BEB25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59" w:type="dxa"/>
            <w:shd w:val="clear" w:color="auto" w:fill="auto"/>
          </w:tcPr>
          <w:p w14:paraId="31589BAC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14:paraId="2F58D5ED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0B3988" w:rsidRPr="00DD5C8C" w14:paraId="568F3359" w14:textId="77777777" w:rsidTr="00E4490E">
        <w:tc>
          <w:tcPr>
            <w:tcW w:w="3259" w:type="dxa"/>
            <w:shd w:val="clear" w:color="auto" w:fill="auto"/>
          </w:tcPr>
          <w:p w14:paraId="5207831B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14:paraId="053D8BA3" w14:textId="77777777" w:rsidR="000B3988" w:rsidRPr="00DD5C8C" w:rsidRDefault="000B3988" w:rsidP="00E4490E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Tempistica controllo</w:t>
            </w:r>
          </w:p>
          <w:p w14:paraId="2522A41D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14:paraId="3CFEB358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14:paraId="12330366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59" w:type="dxa"/>
            <w:shd w:val="clear" w:color="auto" w:fill="auto"/>
          </w:tcPr>
          <w:p w14:paraId="4A161E05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14:paraId="4D8A87F9" w14:textId="77777777" w:rsidR="000B3988" w:rsidRPr="00DD5C8C" w:rsidRDefault="000B3988" w:rsidP="00E4490E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</w:tbl>
    <w:p w14:paraId="4EB1B9A5" w14:textId="77777777" w:rsidR="000B3988" w:rsidRPr="00DD5C8C" w:rsidRDefault="000B3988" w:rsidP="000B3988">
      <w:pPr>
        <w:spacing w:after="200" w:line="276" w:lineRule="auto"/>
        <w:rPr>
          <w:rFonts w:ascii="Arial Narrow" w:eastAsia="Calibri" w:hAnsi="Arial Narrow" w:cs="Times New Roman"/>
          <w:b/>
        </w:rPr>
      </w:pPr>
    </w:p>
    <w:p w14:paraId="132BC064" w14:textId="77777777" w:rsidR="000B3988" w:rsidRPr="00DD5C8C" w:rsidRDefault="000B3988" w:rsidP="000B398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</w:t>
      </w:r>
    </w:p>
    <w:p w14:paraId="108080D1" w14:textId="77777777" w:rsidR="000B3988" w:rsidRPr="00DD5C8C" w:rsidRDefault="000B3988" w:rsidP="000B398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14:paraId="2CDA8627" w14:textId="77777777" w:rsidR="000B3988" w:rsidRPr="00DD5C8C" w:rsidRDefault="000B3988" w:rsidP="000B398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14:paraId="565950CC" w14:textId="77777777" w:rsidR="000B3988" w:rsidRPr="00DD5C8C" w:rsidRDefault="000B3988" w:rsidP="000B3988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14:paraId="3B7D78A7" w14:textId="77777777" w:rsidR="000B3988" w:rsidRPr="00DD5C8C" w:rsidRDefault="000B3988" w:rsidP="000B3988">
      <w:pPr>
        <w:spacing w:after="200" w:line="240" w:lineRule="auto"/>
        <w:jc w:val="both"/>
        <w:rPr>
          <w:rFonts w:ascii="Arial Narrow" w:eastAsia="Calibri" w:hAnsi="Arial Narrow" w:cs="Calibri Light"/>
          <w:sz w:val="24"/>
          <w:szCs w:val="24"/>
        </w:rPr>
      </w:pPr>
    </w:p>
    <w:p w14:paraId="578A70A3" w14:textId="77777777" w:rsidR="000B3988" w:rsidRDefault="000B3988" w:rsidP="000B3988"/>
    <w:p w14:paraId="5C93DF71" w14:textId="77777777" w:rsidR="00083A8C" w:rsidRDefault="00083A8C"/>
    <w:sectPr w:rsidR="00083A8C" w:rsidSect="00C25EF0">
      <w:headerReference w:type="default" r:id="rId4"/>
      <w:footerReference w:type="default" r:id="rId5"/>
      <w:pgSz w:w="11906" w:h="16838"/>
      <w:pgMar w:top="1560" w:right="1134" w:bottom="1134" w:left="1134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">
    <w:charset w:val="00"/>
    <w:family w:val="auto"/>
    <w:pitch w:val="variable"/>
    <w:sig w:usb0="A00002FF" w:usb1="7800205A" w:usb2="146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4A917" w14:textId="77777777" w:rsidR="00291B96" w:rsidRDefault="000B3988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25</w:t>
    </w:r>
    <w:r>
      <w:fldChar w:fldCharType="end"/>
    </w:r>
  </w:p>
  <w:p w14:paraId="51778C2E" w14:textId="77777777" w:rsidR="00291B96" w:rsidRDefault="000B3988">
    <w:pPr>
      <w:pStyle w:val="Pidipa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127A" w14:textId="77777777" w:rsidR="00291B96" w:rsidRDefault="000B3988" w:rsidP="00C25EF0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0E4126" wp14:editId="76E5FD7B">
              <wp:simplePos x="0" y="0"/>
              <wp:positionH relativeFrom="column">
                <wp:posOffset>-83185</wp:posOffset>
              </wp:positionH>
              <wp:positionV relativeFrom="paragraph">
                <wp:posOffset>261620</wp:posOffset>
              </wp:positionV>
              <wp:extent cx="6228080" cy="635"/>
              <wp:effectExtent l="17780" t="92075" r="97790" b="2159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080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107763" dir="18900000" algn="ctr" rotWithShape="0">
                          <a:srgbClr val="808080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81B37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6.55pt;margin-top:20.6pt;width:490.4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" strokecolor="red" strokeweight="2.25pt">
              <v:shadow on="t" opacity=".5" offset="6pt,-6pt"/>
            </v:shape>
          </w:pict>
        </mc:Fallback>
      </mc:AlternateContent>
    </w:r>
  </w:p>
  <w:p w14:paraId="04A1B66E" w14:textId="77777777" w:rsidR="00291B96" w:rsidRDefault="000B398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988"/>
    <w:rsid w:val="00083A8C"/>
    <w:rsid w:val="000B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9107"/>
  <w15:chartTrackingRefBased/>
  <w15:docId w15:val="{7D3C0D87-3948-470B-B396-22085D14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398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B3988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3988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B3988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39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1</cp:revision>
  <dcterms:created xsi:type="dcterms:W3CDTF">2022-09-28T09:33:00Z</dcterms:created>
  <dcterms:modified xsi:type="dcterms:W3CDTF">2022-09-28T09:33:00Z</dcterms:modified>
</cp:coreProperties>
</file>